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wordprocessingml.printerSettings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87FE4" w:rsidRDefault="00487FE4">
      <w:pPr>
        <w:pStyle w:val="normal0"/>
      </w:pPr>
      <w:bookmarkStart w:id="0" w:name="_GoBack"/>
      <w:bookmarkEnd w:id="0"/>
    </w:p>
    <w:tbl>
      <w:tblPr>
        <w:tblStyle w:val="a"/>
        <w:tblW w:w="155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315"/>
        <w:gridCol w:w="9195"/>
      </w:tblGrid>
      <w:tr w:rsidR="00487FE4">
        <w:trPr>
          <w:trHeight w:val="320"/>
        </w:trPr>
        <w:tc>
          <w:tcPr>
            <w:tcW w:w="15510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after="120"/>
              <w:ind w:left="100"/>
            </w:pPr>
            <w:r>
              <w:rPr>
                <w:sz w:val="20"/>
                <w:szCs w:val="20"/>
                <w:shd w:val="clear" w:color="auto" w:fill="FFFF99"/>
              </w:rPr>
              <w:t xml:space="preserve">Unit Detail: </w:t>
            </w:r>
            <w:r>
              <w:rPr>
                <w:b/>
                <w:sz w:val="20"/>
                <w:szCs w:val="20"/>
                <w:shd w:val="clear" w:color="auto" w:fill="FFFF99"/>
              </w:rPr>
              <w:t>Sustainability</w:t>
            </w:r>
          </w:p>
        </w:tc>
      </w:tr>
      <w:tr w:rsidR="00487FE4">
        <w:trPr>
          <w:trHeight w:val="380"/>
        </w:trPr>
        <w:tc>
          <w:tcPr>
            <w:tcW w:w="15510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after="120"/>
              <w:ind w:left="100"/>
            </w:pPr>
            <w:r>
              <w:rPr>
                <w:sz w:val="20"/>
                <w:szCs w:val="20"/>
              </w:rPr>
              <w:t xml:space="preserve">Term: </w:t>
            </w:r>
            <w:r>
              <w:rPr>
                <w:b/>
                <w:color w:val="0000FF"/>
                <w:sz w:val="20"/>
                <w:szCs w:val="20"/>
              </w:rPr>
              <w:t>4, 2015</w:t>
            </w:r>
            <w:r>
              <w:rPr>
                <w:i/>
                <w:sz w:val="20"/>
                <w:szCs w:val="20"/>
              </w:rPr>
              <w:t xml:space="preserve">      </w:t>
            </w:r>
            <w:r>
              <w:rPr>
                <w:i/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Year level:</w:t>
            </w:r>
            <w:r>
              <w:rPr>
                <w:i/>
                <w:color w:val="0000FF"/>
                <w:sz w:val="20"/>
                <w:szCs w:val="20"/>
              </w:rPr>
              <w:t xml:space="preserve"> 3/4        </w:t>
            </w:r>
            <w:r>
              <w:rPr>
                <w:i/>
                <w:color w:val="0000FF"/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Curriculum level: 2                   </w:t>
            </w:r>
            <w:r>
              <w:rPr>
                <w:sz w:val="20"/>
                <w:szCs w:val="20"/>
              </w:rPr>
              <w:tab/>
              <w:t xml:space="preserve">Unit length: 8 weeks </w:t>
            </w:r>
          </w:p>
        </w:tc>
      </w:tr>
      <w:tr w:rsidR="00487FE4">
        <w:trPr>
          <w:trHeight w:val="2520"/>
        </w:trPr>
        <w:tc>
          <w:tcPr>
            <w:tcW w:w="15510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Curriculum learning area: </w:t>
            </w:r>
            <w:r>
              <w:rPr>
                <w:color w:val="0000FF"/>
                <w:sz w:val="20"/>
                <w:szCs w:val="20"/>
              </w:rPr>
              <w:t>Sustainability (Kaitiaki)</w:t>
            </w:r>
          </w:p>
          <w:p w:rsidR="00487FE4" w:rsidRDefault="00487FE4">
            <w:pPr>
              <w:pStyle w:val="normal0"/>
            </w:pPr>
          </w:p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Strand: Health 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</w:rPr>
              <w:t>AO 1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b/>
                <w:color w:val="0000FF"/>
                <w:sz w:val="20"/>
                <w:szCs w:val="20"/>
              </w:rPr>
              <w:t xml:space="preserve">Healthy Communities and Environments 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color w:val="0000FF"/>
                <w:sz w:val="20"/>
                <w:szCs w:val="20"/>
              </w:rPr>
              <w:t xml:space="preserve">Societal Attitudes and Values: Explore how people’s attitudes, values and actions contribute to healthy physical and social environments </w:t>
            </w:r>
          </w:p>
          <w:p w:rsidR="00487FE4" w:rsidRDefault="00487FE4">
            <w:pPr>
              <w:pStyle w:val="normal0"/>
            </w:pPr>
          </w:p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</w:rPr>
              <w:t>Secondary Strand: Science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</w:rPr>
              <w:t>AO 1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b/>
                <w:color w:val="0000FF"/>
                <w:sz w:val="20"/>
                <w:szCs w:val="20"/>
              </w:rPr>
              <w:t>Living World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color w:val="0000FF"/>
                <w:sz w:val="20"/>
                <w:szCs w:val="20"/>
              </w:rPr>
              <w:t>Life Processes: Recognise that all living things have certain requirement</w:t>
            </w:r>
            <w:r>
              <w:rPr>
                <w:color w:val="0000FF"/>
                <w:sz w:val="20"/>
                <w:szCs w:val="20"/>
              </w:rPr>
              <w:t xml:space="preserve">s so they can stay alive </w:t>
            </w:r>
          </w:p>
          <w:p w:rsidR="00487FE4" w:rsidRDefault="00487FE4">
            <w:pPr>
              <w:pStyle w:val="normal0"/>
            </w:pPr>
          </w:p>
        </w:tc>
      </w:tr>
      <w:tr w:rsidR="00487FE4">
        <w:tc>
          <w:tcPr>
            <w:tcW w:w="6315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  <w:shd w:val="clear" w:color="auto" w:fill="FFFF99"/>
              </w:rPr>
              <w:t>Organisation (e.g. Whole class, group, individual)</w:t>
            </w:r>
          </w:p>
        </w:tc>
        <w:tc>
          <w:tcPr>
            <w:tcW w:w="9195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  <w:shd w:val="clear" w:color="auto" w:fill="FFFF99"/>
              </w:rPr>
              <w:t>Abilities / Needs / ESOL / Group Lists</w:t>
            </w:r>
          </w:p>
        </w:tc>
      </w:tr>
      <w:tr w:rsidR="00487FE4">
        <w:trPr>
          <w:trHeight w:val="2100"/>
        </w:trPr>
        <w:tc>
          <w:tcPr>
            <w:tcW w:w="6315" w:type="dxa"/>
            <w:tcBorders>
              <w:left w:val="single" w:sz="12" w:space="0" w:color="FF0000"/>
              <w:bottom w:val="single" w:sz="12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Mixed ability groups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Buddy tasks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Class discussion – whole class and small groups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 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 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 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195" w:type="dxa"/>
            <w:tcBorders>
              <w:bottom w:val="single" w:sz="8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left="100"/>
            </w:pPr>
            <w:r>
              <w:rPr>
                <w:b/>
                <w:i/>
                <w:color w:val="0000FF"/>
                <w:sz w:val="20"/>
                <w:szCs w:val="20"/>
              </w:rPr>
              <w:t>ESOL</w:t>
            </w:r>
            <w:r>
              <w:rPr>
                <w:i/>
                <w:color w:val="0000FF"/>
                <w:sz w:val="20"/>
                <w:szCs w:val="20"/>
              </w:rPr>
              <w:t xml:space="preserve"> – ESOL teacher, in class support using buddies to interpret, students modeling language for these students, simplified tasks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b/>
                <w:i/>
                <w:color w:val="0000FF"/>
                <w:sz w:val="20"/>
                <w:szCs w:val="20"/>
              </w:rPr>
              <w:t>Target groups</w:t>
            </w:r>
            <w:r>
              <w:rPr>
                <w:i/>
                <w:color w:val="0000FF"/>
                <w:sz w:val="20"/>
                <w:szCs w:val="20"/>
              </w:rPr>
              <w:t xml:space="preserve"> – Students below the standard in writing who will require support in writing and presenting their research.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b/>
                <w:i/>
                <w:color w:val="0000FF"/>
                <w:sz w:val="20"/>
                <w:szCs w:val="20"/>
              </w:rPr>
              <w:t xml:space="preserve">Special </w:t>
            </w:r>
            <w:r>
              <w:rPr>
                <w:b/>
                <w:i/>
                <w:color w:val="0000FF"/>
                <w:sz w:val="20"/>
                <w:szCs w:val="20"/>
              </w:rPr>
              <w:t>Needs</w:t>
            </w:r>
            <w:r>
              <w:rPr>
                <w:i/>
                <w:color w:val="0000FF"/>
                <w:sz w:val="20"/>
                <w:szCs w:val="20"/>
              </w:rPr>
              <w:t xml:space="preserve"> – Teacher aide when timetabled to support students as required – work and outcomes differentiated by the class teacher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b/>
                <w:i/>
                <w:color w:val="0000FF"/>
                <w:sz w:val="20"/>
                <w:szCs w:val="20"/>
              </w:rPr>
              <w:t>More able –</w:t>
            </w:r>
            <w:r>
              <w:rPr>
                <w:i/>
                <w:color w:val="0000FF"/>
                <w:sz w:val="20"/>
                <w:szCs w:val="20"/>
              </w:rPr>
              <w:t xml:space="preserve"> extended activities in sustainability – through research, letters to various organisations</w:t>
            </w:r>
          </w:p>
        </w:tc>
      </w:tr>
      <w:tr w:rsidR="00487FE4">
        <w:tc>
          <w:tcPr>
            <w:tcW w:w="15510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after="120"/>
              <w:ind w:left="100"/>
            </w:pPr>
            <w:r>
              <w:rPr>
                <w:sz w:val="20"/>
                <w:szCs w:val="20"/>
              </w:rPr>
              <w:t xml:space="preserve">Key Competency focus: </w:t>
            </w:r>
            <w:r>
              <w:rPr>
                <w:sz w:val="18"/>
                <w:szCs w:val="18"/>
              </w:rPr>
              <w:t xml:space="preserve">Thinking </w:t>
            </w:r>
            <w:r>
              <w:t xml:space="preserve">þ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Managing Self</w:t>
            </w:r>
            <w:r>
              <w:rPr>
                <w:sz w:val="28"/>
                <w:szCs w:val="28"/>
              </w:rPr>
              <w:t xml:space="preserve">  </w:t>
            </w:r>
            <w:r>
              <w:t xml:space="preserve">þ  </w:t>
            </w:r>
            <w:r>
              <w:rPr>
                <w:sz w:val="18"/>
                <w:szCs w:val="18"/>
              </w:rPr>
              <w:t>Relating to Others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Participating and Contributing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þ  </w:t>
            </w:r>
            <w:r>
              <w:rPr>
                <w:sz w:val="18"/>
                <w:szCs w:val="18"/>
              </w:rPr>
              <w:t xml:space="preserve"> Using Language, Symbols and Text</w:t>
            </w:r>
            <w:r>
              <w:rPr>
                <w:sz w:val="28"/>
                <w:szCs w:val="28"/>
              </w:rPr>
              <w:t xml:space="preserve"> </w:t>
            </w:r>
            <w:r>
              <w:t>þ</w:t>
            </w:r>
          </w:p>
          <w:p w:rsidR="00487FE4" w:rsidRDefault="00FA4D2B">
            <w:pPr>
              <w:pStyle w:val="normal0"/>
              <w:spacing w:after="120"/>
              <w:ind w:left="100"/>
            </w:pPr>
            <w:r>
              <w:rPr>
                <w:b/>
                <w:i/>
                <w:color w:val="0000FF"/>
                <w:sz w:val="20"/>
                <w:szCs w:val="20"/>
              </w:rPr>
              <w:t>Managing Self</w:t>
            </w:r>
            <w:r>
              <w:rPr>
                <w:i/>
                <w:color w:val="0000FF"/>
                <w:sz w:val="20"/>
                <w:szCs w:val="20"/>
              </w:rPr>
              <w:t xml:space="preserve"> by completing the activities in a timely fashion so the presentation is delivered on time</w:t>
            </w:r>
          </w:p>
          <w:p w:rsidR="00487FE4" w:rsidRDefault="00FA4D2B">
            <w:pPr>
              <w:pStyle w:val="normal0"/>
              <w:spacing w:after="120"/>
              <w:ind w:left="100"/>
            </w:pPr>
            <w:r>
              <w:rPr>
                <w:b/>
                <w:i/>
                <w:color w:val="0000FF"/>
                <w:sz w:val="20"/>
                <w:szCs w:val="20"/>
              </w:rPr>
              <w:t>Participating and Contributing</w:t>
            </w:r>
            <w:r>
              <w:rPr>
                <w:i/>
                <w:color w:val="0000FF"/>
                <w:sz w:val="20"/>
                <w:szCs w:val="20"/>
              </w:rPr>
              <w:t xml:space="preserve"> through active involvement in research and how the information will be presented as a group</w:t>
            </w:r>
          </w:p>
          <w:p w:rsidR="00487FE4" w:rsidRDefault="00FA4D2B">
            <w:pPr>
              <w:pStyle w:val="normal0"/>
              <w:spacing w:after="120"/>
              <w:ind w:left="100"/>
            </w:pPr>
            <w:r>
              <w:rPr>
                <w:b/>
                <w:i/>
                <w:color w:val="0000FF"/>
                <w:sz w:val="20"/>
                <w:szCs w:val="20"/>
              </w:rPr>
              <w:t>Thinking</w:t>
            </w:r>
            <w:r>
              <w:rPr>
                <w:i/>
                <w:color w:val="0000FF"/>
                <w:sz w:val="20"/>
                <w:szCs w:val="20"/>
              </w:rPr>
              <w:t xml:space="preserve"> – What types of resources are sustainable? How can we present the information, make notes, contribute to sustaining these resources? What would happen if </w:t>
            </w:r>
            <w:r>
              <w:rPr>
                <w:i/>
                <w:color w:val="0000FF"/>
                <w:sz w:val="20"/>
                <w:szCs w:val="20"/>
              </w:rPr>
              <w:t xml:space="preserve">we didn’t’ sustain resources for the future? What is the impact of human behaviour on living things and the environment?  </w:t>
            </w:r>
          </w:p>
          <w:p w:rsidR="00487FE4" w:rsidRDefault="00FA4D2B">
            <w:pPr>
              <w:pStyle w:val="normal0"/>
              <w:spacing w:after="120"/>
              <w:ind w:left="100"/>
            </w:pPr>
            <w:r>
              <w:rPr>
                <w:b/>
                <w:i/>
                <w:color w:val="0000FF"/>
                <w:sz w:val="20"/>
                <w:szCs w:val="20"/>
              </w:rPr>
              <w:t xml:space="preserve">Using, language, symbols and text – </w:t>
            </w:r>
            <w:r>
              <w:rPr>
                <w:i/>
                <w:color w:val="0000FF"/>
                <w:sz w:val="20"/>
                <w:szCs w:val="20"/>
              </w:rPr>
              <w:t>What format will the presentation take – Poster? Digital? Display board?</w:t>
            </w:r>
          </w:p>
        </w:tc>
      </w:tr>
    </w:tbl>
    <w:p w:rsidR="00487FE4" w:rsidRDefault="00487FE4">
      <w:pPr>
        <w:pStyle w:val="normal0"/>
      </w:pPr>
    </w:p>
    <w:tbl>
      <w:tblPr>
        <w:tblStyle w:val="a0"/>
        <w:tblW w:w="153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920"/>
        <w:gridCol w:w="7478"/>
      </w:tblGrid>
      <w:tr w:rsidR="00487FE4">
        <w:trPr>
          <w:trHeight w:val="420"/>
        </w:trPr>
        <w:tc>
          <w:tcPr>
            <w:tcW w:w="15398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FFFF99"/>
              </w:rPr>
              <w:t>Unit Overview</w:t>
            </w:r>
          </w:p>
        </w:tc>
      </w:tr>
      <w:tr w:rsidR="00487FE4">
        <w:trPr>
          <w:trHeight w:val="420"/>
        </w:trPr>
        <w:tc>
          <w:tcPr>
            <w:tcW w:w="792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 xml:space="preserve">Title </w:t>
            </w:r>
          </w:p>
        </w:tc>
        <w:tc>
          <w:tcPr>
            <w:tcW w:w="7478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before="60" w:after="40"/>
              <w:ind w:left="100"/>
            </w:pPr>
            <w:r>
              <w:rPr>
                <w:color w:val="1155CC"/>
                <w:sz w:val="20"/>
                <w:szCs w:val="20"/>
              </w:rPr>
              <w:t>Food and Nutrition</w:t>
            </w:r>
          </w:p>
        </w:tc>
      </w:tr>
      <w:tr w:rsidR="00487FE4">
        <w:trPr>
          <w:trHeight w:val="400"/>
        </w:trPr>
        <w:tc>
          <w:tcPr>
            <w:tcW w:w="792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 xml:space="preserve">Unit Aim </w:t>
            </w:r>
          </w:p>
        </w:tc>
        <w:tc>
          <w:tcPr>
            <w:tcW w:w="7478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before="60" w:after="40"/>
              <w:ind w:left="100"/>
            </w:pPr>
            <w:r>
              <w:rPr>
                <w:color w:val="1155CC"/>
                <w:sz w:val="20"/>
                <w:szCs w:val="20"/>
              </w:rPr>
              <w:t>Identify sources of food and their effect on the body</w:t>
            </w:r>
          </w:p>
        </w:tc>
      </w:tr>
      <w:tr w:rsidR="00487FE4">
        <w:trPr>
          <w:trHeight w:val="420"/>
        </w:trPr>
        <w:tc>
          <w:tcPr>
            <w:tcW w:w="15398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  <w:shd w:val="clear" w:color="auto" w:fill="FFFF99"/>
              </w:rPr>
              <w:t>Curriculum Document Values</w:t>
            </w:r>
          </w:p>
        </w:tc>
      </w:tr>
      <w:tr w:rsidR="00487FE4">
        <w:trPr>
          <w:trHeight w:val="420"/>
        </w:trPr>
        <w:tc>
          <w:tcPr>
            <w:tcW w:w="15398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left="100"/>
            </w:pPr>
            <w:r>
              <w:rPr>
                <w:sz w:val="18"/>
                <w:szCs w:val="18"/>
              </w:rPr>
              <w:t xml:space="preserve">Excellence   Innovation, Inquiry, Curiosity  Diversity  Equity  Ecological </w:t>
            </w:r>
            <w:r>
              <w:rPr>
                <w:sz w:val="18"/>
                <w:szCs w:val="18"/>
                <w:shd w:val="clear" w:color="auto" w:fill="FF9900"/>
              </w:rPr>
              <w:t>Sustainability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shd w:val="clear" w:color="auto" w:fill="FF9900"/>
              </w:rPr>
              <w:t>Community and Participation</w:t>
            </w:r>
            <w:r>
              <w:rPr>
                <w:sz w:val="18"/>
                <w:szCs w:val="18"/>
              </w:rPr>
              <w:t xml:space="preserve"> Integrity  </w:t>
            </w:r>
            <w:r>
              <w:rPr>
                <w:sz w:val="18"/>
                <w:szCs w:val="18"/>
                <w:shd w:val="clear" w:color="auto" w:fill="FF9900"/>
              </w:rPr>
              <w:t>Respect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Students will present their research to a high standard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Students will use inquiry to explore one of earth’s resources, how it is being misused and what can be done to sustain it / them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 xml:space="preserve">Students will understand the need to respect the thoughts and ideas of </w:t>
            </w:r>
            <w:r>
              <w:rPr>
                <w:i/>
                <w:color w:val="0000FF"/>
                <w:sz w:val="20"/>
                <w:szCs w:val="20"/>
              </w:rPr>
              <w:t>others in their group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Students will work collaboratively to research and present their findings</w:t>
            </w:r>
          </w:p>
        </w:tc>
      </w:tr>
      <w:tr w:rsidR="00487FE4">
        <w:trPr>
          <w:trHeight w:val="420"/>
        </w:trPr>
        <w:tc>
          <w:tcPr>
            <w:tcW w:w="15398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FFFF99"/>
              </w:rPr>
              <w:t>Digital Literacy Focus</w:t>
            </w:r>
          </w:p>
        </w:tc>
      </w:tr>
      <w:tr w:rsidR="00487FE4">
        <w:trPr>
          <w:trHeight w:val="420"/>
        </w:trPr>
        <w:tc>
          <w:tcPr>
            <w:tcW w:w="15398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sz w:val="18"/>
                <w:szCs w:val="18"/>
              </w:rPr>
              <w:t xml:space="preserve">Task Definition  </w:t>
            </w:r>
            <w:r>
              <w:rPr>
                <w:sz w:val="18"/>
                <w:szCs w:val="18"/>
                <w:shd w:val="clear" w:color="auto" w:fill="FF9900"/>
              </w:rPr>
              <w:t>Information Seeking</w:t>
            </w:r>
            <w:r>
              <w:rPr>
                <w:sz w:val="18"/>
                <w:szCs w:val="18"/>
              </w:rPr>
              <w:t xml:space="preserve"> Strategies  Location and Access  Use of Information  Synthesis  </w:t>
            </w:r>
            <w:r>
              <w:rPr>
                <w:sz w:val="18"/>
                <w:szCs w:val="18"/>
                <w:shd w:val="clear" w:color="auto" w:fill="FF9900"/>
              </w:rPr>
              <w:t>Evaluation</w:t>
            </w:r>
          </w:p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Students will demonstrate an understanding of what is required by devising a set of questions to aid their research and help define their task</w:t>
            </w:r>
          </w:p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Students will research and gather information from the internet and books about earth’s natural resources</w:t>
            </w:r>
          </w:p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Student</w:t>
            </w:r>
            <w:r>
              <w:rPr>
                <w:i/>
                <w:color w:val="0000FF"/>
                <w:sz w:val="20"/>
                <w:szCs w:val="20"/>
              </w:rPr>
              <w:t>s will make choices about how to locate and access key information (library, internet, letters to organisations)</w:t>
            </w:r>
          </w:p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Students will make notes and select relevant information</w:t>
            </w:r>
          </w:p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Students will evaluate their findings and the overall effectiveness (e.g. audience appeal) of their presentation</w:t>
            </w:r>
          </w:p>
        </w:tc>
      </w:tr>
      <w:tr w:rsidR="00487FE4">
        <w:tc>
          <w:tcPr>
            <w:tcW w:w="7920" w:type="dxa"/>
            <w:tcBorders>
              <w:left w:val="single" w:sz="12" w:space="0" w:color="FF0000"/>
              <w:bottom w:val="single" w:sz="12" w:space="0" w:color="FF0000"/>
            </w:tcBorders>
            <w:shd w:val="clear" w:color="auto" w:fill="FFFF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FFFF99"/>
              </w:rPr>
              <w:t>Global Learning Intentions of unit – the BIG ideas students MUST get</w:t>
            </w:r>
          </w:p>
        </w:tc>
        <w:tc>
          <w:tcPr>
            <w:tcW w:w="7478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FFFF99"/>
              </w:rPr>
              <w:t>Misconceptions anticipated</w:t>
            </w:r>
          </w:p>
        </w:tc>
      </w:tr>
      <w:tr w:rsidR="00487FE4">
        <w:tc>
          <w:tcPr>
            <w:tcW w:w="7920" w:type="dxa"/>
            <w:tcBorders>
              <w:left w:val="single" w:sz="12" w:space="0" w:color="FF0000"/>
              <w:bottom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Our food comes from different places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Some foods are made from a variety of ingredients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We can think about ingredients and where foods come from to make healthy choices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 xml:space="preserve">Our bodies digest food to give us energy </w:t>
            </w:r>
          </w:p>
        </w:tc>
        <w:tc>
          <w:tcPr>
            <w:tcW w:w="7478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Food with fruits and vegetables in them are always healthy</w:t>
            </w:r>
          </w:p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All food gives us the sa</w:t>
            </w:r>
            <w:r>
              <w:rPr>
                <w:i/>
                <w:color w:val="0000FF"/>
                <w:sz w:val="20"/>
                <w:szCs w:val="20"/>
              </w:rPr>
              <w:t>me amount of energy</w:t>
            </w:r>
          </w:p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Food packaging is accurate (e.g. milo gives us half of our daily intake of calcium)</w:t>
            </w:r>
          </w:p>
        </w:tc>
      </w:tr>
      <w:tr w:rsidR="00487FE4">
        <w:trPr>
          <w:trHeight w:val="420"/>
        </w:trPr>
        <w:tc>
          <w:tcPr>
            <w:tcW w:w="15398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FFFF99"/>
              </w:rPr>
              <w:t>Key vocabulary for this unit</w:t>
            </w:r>
          </w:p>
        </w:tc>
      </w:tr>
      <w:tr w:rsidR="00487FE4">
        <w:trPr>
          <w:trHeight w:val="420"/>
        </w:trPr>
        <w:tc>
          <w:tcPr>
            <w:tcW w:w="15398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i/>
                <w:color w:val="0000FF"/>
                <w:sz w:val="20"/>
                <w:szCs w:val="20"/>
              </w:rPr>
              <w:t>digestive system, ingredients, nutrients, vitamins, calcium, minerals, carbohydrates, fats, sugar, salt, source, process, stomach, oesophagus, intestines, liver, poultry, food pyramid</w:t>
            </w:r>
          </w:p>
        </w:tc>
      </w:tr>
      <w:tr w:rsidR="00487FE4">
        <w:trPr>
          <w:trHeight w:val="420"/>
        </w:trPr>
        <w:tc>
          <w:tcPr>
            <w:tcW w:w="15398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FFFF99"/>
              </w:rPr>
              <w:lastRenderedPageBreak/>
              <w:t>Assessment / culminating activity</w:t>
            </w:r>
          </w:p>
        </w:tc>
      </w:tr>
      <w:tr w:rsidR="00487FE4">
        <w:trPr>
          <w:trHeight w:val="420"/>
        </w:trPr>
        <w:tc>
          <w:tcPr>
            <w:tcW w:w="15398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  <w:shd w:val="clear" w:color="auto" w:fill="FF9900"/>
              </w:rPr>
              <w:t>Self Assessment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shd w:val="clear" w:color="auto" w:fill="FF9900"/>
              </w:rPr>
              <w:t>Peer assessment</w:t>
            </w:r>
            <w:r>
              <w:rPr>
                <w:sz w:val="20"/>
                <w:szCs w:val="20"/>
              </w:rPr>
              <w:t xml:space="preserve">  Learning reflection   Presentation   Display  Performance  </w:t>
            </w:r>
          </w:p>
          <w:p w:rsidR="00487FE4" w:rsidRDefault="00FA4D2B">
            <w:pPr>
              <w:pStyle w:val="normal0"/>
              <w:ind w:left="100"/>
            </w:pPr>
            <w:r>
              <w:rPr>
                <w:sz w:val="20"/>
                <w:szCs w:val="20"/>
              </w:rPr>
              <w:t>Practical Skills  Teacher Observation Learning conversation  Written assessment  Other (report)</w:t>
            </w:r>
          </w:p>
          <w:p w:rsidR="00487FE4" w:rsidRDefault="00487FE4">
            <w:pPr>
              <w:pStyle w:val="normal0"/>
              <w:ind w:left="100"/>
            </w:pPr>
          </w:p>
        </w:tc>
      </w:tr>
    </w:tbl>
    <w:p w:rsidR="00487FE4" w:rsidRDefault="00487FE4">
      <w:pPr>
        <w:pStyle w:val="normal0"/>
      </w:pPr>
    </w:p>
    <w:tbl>
      <w:tblPr>
        <w:tblStyle w:val="a1"/>
        <w:tblW w:w="155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50"/>
        <w:gridCol w:w="8895"/>
        <w:gridCol w:w="3465"/>
      </w:tblGrid>
      <w:tr w:rsidR="00487FE4">
        <w:tc>
          <w:tcPr>
            <w:tcW w:w="15510" w:type="dxa"/>
            <w:gridSpan w:val="3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left="120" w:right="120"/>
              <w:jc w:val="center"/>
            </w:pPr>
            <w:r>
              <w:rPr>
                <w:sz w:val="20"/>
                <w:szCs w:val="20"/>
                <w:highlight w:val="yellow"/>
              </w:rPr>
              <w:t>Unit implementation – Learning experiences and instruction</w:t>
            </w:r>
          </w:p>
        </w:tc>
      </w:tr>
      <w:tr w:rsidR="00487FE4">
        <w:trPr>
          <w:trHeight w:val="920"/>
        </w:trPr>
        <w:tc>
          <w:tcPr>
            <w:tcW w:w="315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right="120"/>
            </w:pPr>
            <w:r>
              <w:rPr>
                <w:sz w:val="18"/>
                <w:szCs w:val="18"/>
              </w:rPr>
              <w:t>Learning Intentions (to be shared with whole class)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18"/>
                <w:szCs w:val="18"/>
              </w:rPr>
              <w:t>We Are Learning To (WALT):</w:t>
            </w:r>
          </w:p>
        </w:tc>
        <w:tc>
          <w:tcPr>
            <w:tcW w:w="8895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right="120"/>
            </w:pPr>
            <w:r>
              <w:rPr>
                <w:sz w:val="18"/>
                <w:szCs w:val="18"/>
              </w:rPr>
              <w:t>Learning Experiences / Activities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18"/>
                <w:szCs w:val="18"/>
              </w:rPr>
              <w:t>(ICT / Multiple Intelligences / Blooms / Authentic Experiences / Enviro)</w:t>
            </w:r>
          </w:p>
        </w:tc>
        <w:tc>
          <w:tcPr>
            <w:tcW w:w="3465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right="120"/>
            </w:pPr>
            <w:r>
              <w:rPr>
                <w:sz w:val="18"/>
                <w:szCs w:val="18"/>
              </w:rPr>
              <w:t>Assessment - Diagnostic / Formative / Summative / Feedback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18"/>
                <w:szCs w:val="18"/>
              </w:rPr>
              <w:t>Success Cri</w:t>
            </w:r>
            <w:r>
              <w:rPr>
                <w:sz w:val="18"/>
                <w:szCs w:val="18"/>
              </w:rPr>
              <w:t>teria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18"/>
                <w:szCs w:val="18"/>
              </w:rPr>
              <w:t>We Are Successful When (WASW):</w:t>
            </w:r>
          </w:p>
        </w:tc>
      </w:tr>
      <w:tr w:rsidR="00487FE4">
        <w:trPr>
          <w:trHeight w:val="660"/>
        </w:trPr>
        <w:tc>
          <w:tcPr>
            <w:tcW w:w="15510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Throughout this topic students will work collaboratively in groups. They will identify a chosen resource to research. They will make decisions as to how they will collect their information and about it will be presented to the larger class group. Where pos</w:t>
            </w:r>
            <w:r>
              <w:rPr>
                <w:sz w:val="20"/>
                <w:szCs w:val="20"/>
              </w:rPr>
              <w:t>sible links will be made with other aspects of the curriculum - e.g. Literacy, ICT, Maths</w:t>
            </w:r>
          </w:p>
        </w:tc>
      </w:tr>
      <w:tr w:rsidR="00487FE4">
        <w:tc>
          <w:tcPr>
            <w:tcW w:w="3150" w:type="dxa"/>
            <w:tcBorders>
              <w:left w:val="single" w:sz="12" w:space="0" w:color="FF0000"/>
              <w:bottom w:val="single" w:sz="8" w:space="0" w:color="00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WALT: Identify the three main sources of food. </w:t>
            </w: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FA4D2B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 xml:space="preserve"> </w:t>
            </w: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lastRenderedPageBreak/>
              <w:t>WALT: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Discuss what happens to our food when we eat.</w:t>
            </w: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WALT: Name some of the main ingredients in snack and treat foods. </w:t>
            </w:r>
          </w:p>
        </w:tc>
        <w:tc>
          <w:tcPr>
            <w:tcW w:w="8895" w:type="dxa"/>
            <w:tcBorders>
              <w:bottom w:val="single" w:sz="8" w:space="0" w:color="00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right="120"/>
            </w:pPr>
            <w:r>
              <w:rPr>
                <w:color w:val="0000FF"/>
                <w:sz w:val="20"/>
                <w:szCs w:val="20"/>
              </w:rPr>
              <w:lastRenderedPageBreak/>
              <w:t xml:space="preserve">Experience 1 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b/>
                <w:sz w:val="20"/>
                <w:szCs w:val="20"/>
              </w:rPr>
              <w:t xml:space="preserve">Hook - </w:t>
            </w:r>
            <w:r>
              <w:rPr>
                <w:sz w:val="20"/>
                <w:szCs w:val="20"/>
              </w:rPr>
              <w:t xml:space="preserve">Whole class 3 Food group game quiz: 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Sort foods into the 3 categories based on prior knowledge (the ground, animals, ingredients/processed)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Split class into teams, write the 3 categories on the board, distribute a set of food cards to each team (see hardcopy: printed from </w:t>
            </w:r>
            <w:hyperlink r:id="rId6">
              <w:r>
                <w:rPr>
                  <w:color w:val="1155CC"/>
                  <w:sz w:val="20"/>
                  <w:szCs w:val="20"/>
                  <w:u w:val="single"/>
                </w:rPr>
                <w:t>http://esl-kids.com/flashcards/food.html</w:t>
              </w:r>
            </w:hyperlink>
            <w:r>
              <w:rPr>
                <w:sz w:val="20"/>
                <w:szCs w:val="20"/>
              </w:rPr>
              <w:t>)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i/>
                <w:sz w:val="20"/>
                <w:szCs w:val="20"/>
              </w:rPr>
              <w:t>Life Education acti</w:t>
            </w:r>
            <w:r>
              <w:rPr>
                <w:i/>
                <w:sz w:val="20"/>
                <w:szCs w:val="20"/>
              </w:rPr>
              <w:t>vities:</w:t>
            </w:r>
          </w:p>
          <w:p w:rsidR="00487FE4" w:rsidRDefault="00FA4D2B">
            <w:pPr>
              <w:pStyle w:val="normal0"/>
              <w:numPr>
                <w:ilvl w:val="0"/>
                <w:numId w:val="4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Harolds telescope </w:t>
            </w:r>
          </w:p>
          <w:p w:rsidR="00487FE4" w:rsidRDefault="00FA4D2B">
            <w:pPr>
              <w:pStyle w:val="normal0"/>
              <w:numPr>
                <w:ilvl w:val="0"/>
                <w:numId w:val="4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Where does food come from? 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b/>
                <w:sz w:val="20"/>
                <w:szCs w:val="20"/>
                <w:u w:val="single"/>
              </w:rPr>
              <w:t>Videos: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Where do fruits and vegetables come from? </w:t>
            </w:r>
            <w:hyperlink r:id="rId7">
              <w:r>
                <w:rPr>
                  <w:color w:val="1155CC"/>
                  <w:sz w:val="20"/>
                  <w:szCs w:val="20"/>
                  <w:u w:val="single"/>
                </w:rPr>
                <w:t>http://safeshare.tv/w/bbjVXZLvzp</w:t>
              </w:r>
            </w:hyperlink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color w:val="0000FF"/>
                <w:sz w:val="20"/>
                <w:szCs w:val="20"/>
              </w:rPr>
              <w:t>Experience 2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Role play the Digestive Sytem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Use a piece of paper to represent the food.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e.g. the ‘mouth’ group can rip up the paper = chewing food.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b/>
                <w:sz w:val="20"/>
                <w:szCs w:val="20"/>
                <w:u w:val="single"/>
              </w:rPr>
              <w:t>Videos:</w:t>
            </w:r>
          </w:p>
          <w:p w:rsidR="00487FE4" w:rsidRDefault="00FA4D2B">
            <w:pPr>
              <w:pStyle w:val="normal0"/>
              <w:numPr>
                <w:ilvl w:val="0"/>
                <w:numId w:val="8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Digestive system video: </w:t>
            </w:r>
            <w:hyperlink r:id="rId8">
              <w:r>
                <w:rPr>
                  <w:color w:val="1155CC"/>
                  <w:sz w:val="20"/>
                  <w:szCs w:val="20"/>
                  <w:u w:val="single"/>
                </w:rPr>
                <w:t>http://safeshare.tv/w/HKvomOvTTq</w:t>
              </w:r>
            </w:hyperlink>
          </w:p>
          <w:p w:rsidR="00487FE4" w:rsidRDefault="00FA4D2B">
            <w:pPr>
              <w:pStyle w:val="normal0"/>
              <w:numPr>
                <w:ilvl w:val="0"/>
                <w:numId w:val="8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Magic school bus digestion (6 mins</w:t>
            </w:r>
            <w:r>
              <w:rPr>
                <w:sz w:val="20"/>
                <w:szCs w:val="20"/>
              </w:rPr>
              <w:t xml:space="preserve">): </w:t>
            </w:r>
            <w:hyperlink r:id="rId9">
              <w:r>
                <w:rPr>
                  <w:color w:val="1155CC"/>
                  <w:sz w:val="20"/>
                  <w:szCs w:val="20"/>
                  <w:u w:val="single"/>
                </w:rPr>
                <w:t>http://safeshare.tv/w/QHtjsYqcuO</w:t>
              </w:r>
            </w:hyperlink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i/>
                <w:sz w:val="20"/>
                <w:szCs w:val="20"/>
              </w:rPr>
              <w:t>Life Education activities:</w:t>
            </w:r>
          </w:p>
          <w:p w:rsidR="00487FE4" w:rsidRDefault="00FA4D2B">
            <w:pPr>
              <w:pStyle w:val="normal0"/>
              <w:numPr>
                <w:ilvl w:val="0"/>
                <w:numId w:val="5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Digestive matching cards</w:t>
            </w:r>
          </w:p>
          <w:p w:rsidR="00487FE4" w:rsidRDefault="00FA4D2B">
            <w:pPr>
              <w:pStyle w:val="normal0"/>
              <w:numPr>
                <w:ilvl w:val="0"/>
                <w:numId w:val="5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Digestive Process</w:t>
            </w:r>
          </w:p>
          <w:p w:rsidR="00487FE4" w:rsidRDefault="00FA4D2B">
            <w:pPr>
              <w:pStyle w:val="normal0"/>
              <w:numPr>
                <w:ilvl w:val="0"/>
                <w:numId w:val="5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Digestion x2</w:t>
            </w:r>
          </w:p>
          <w:p w:rsidR="00487FE4" w:rsidRDefault="00FA4D2B">
            <w:pPr>
              <w:pStyle w:val="normal0"/>
              <w:numPr>
                <w:ilvl w:val="0"/>
                <w:numId w:val="5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Digestion Dialogue (teacher guide)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Life Education Session 1: Space Invaders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Life Education Session 2: Space Invaders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color w:val="0000FF"/>
                <w:sz w:val="20"/>
                <w:szCs w:val="20"/>
              </w:rPr>
              <w:t>Experience 3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i/>
                <w:sz w:val="20"/>
                <w:szCs w:val="20"/>
              </w:rPr>
              <w:t>Life Education activities:</w:t>
            </w:r>
          </w:p>
          <w:p w:rsidR="00487FE4" w:rsidRDefault="00FA4D2B">
            <w:pPr>
              <w:pStyle w:val="normal0"/>
              <w:numPr>
                <w:ilvl w:val="0"/>
                <w:numId w:val="6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Out! Snack Time!</w:t>
            </w:r>
          </w:p>
          <w:p w:rsidR="00487FE4" w:rsidRDefault="00FA4D2B">
            <w:pPr>
              <w:pStyle w:val="normal0"/>
              <w:numPr>
                <w:ilvl w:val="0"/>
                <w:numId w:val="6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Make the Choice! (teachers guide)</w:t>
            </w:r>
          </w:p>
          <w:p w:rsidR="00487FE4" w:rsidRDefault="00FA4D2B">
            <w:pPr>
              <w:pStyle w:val="normal0"/>
              <w:numPr>
                <w:ilvl w:val="0"/>
                <w:numId w:val="6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Healthy Food Pyramid (teachers guide)</w:t>
            </w:r>
          </w:p>
          <w:p w:rsidR="00487FE4" w:rsidRDefault="00FA4D2B">
            <w:pPr>
              <w:pStyle w:val="normal0"/>
              <w:numPr>
                <w:ilvl w:val="0"/>
                <w:numId w:val="6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Food Pyramid (teachers guide)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i/>
                <w:sz w:val="20"/>
                <w:szCs w:val="20"/>
                <w:u w:val="single"/>
              </w:rPr>
              <w:t>Ideas for experiments about ingredients i</w:t>
            </w:r>
            <w:r>
              <w:rPr>
                <w:i/>
                <w:sz w:val="20"/>
                <w:szCs w:val="20"/>
                <w:u w:val="single"/>
              </w:rPr>
              <w:t>n snacks: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numPr>
                <w:ilvl w:val="0"/>
                <w:numId w:val="7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much sugar is in your drink? Wall display. See: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noProof/>
                <w:lang w:val="en-US"/>
              </w:rPr>
              <w:lastRenderedPageBreak/>
              <w:drawing>
                <wp:inline distT="114300" distB="114300" distL="114300" distR="114300" wp14:anchorId="1093BACB" wp14:editId="0E71BA4B">
                  <wp:extent cx="1871663" cy="1402058"/>
                  <wp:effectExtent l="0" t="0" r="0" b="0"/>
                  <wp:docPr id="1" name="image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663" cy="140205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2. Fat test: students bring in their favourite snacks, place them on brown paper bags and predict what will happen overnight = grease stains. See: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</w:p>
          <w:p w:rsidR="00487FE4" w:rsidRDefault="00FA4D2B">
            <w:pPr>
              <w:pStyle w:val="normal0"/>
              <w:ind w:right="120"/>
            </w:pPr>
            <w:hyperlink r:id="rId11"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http://inspiremeasap.com/2011/03/fat-test-lesson-students-have-to-see-to.html</w:t>
              </w:r>
            </w:hyperlink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3. Banana/fries preservative test (week long): 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</w:t>
            </w:r>
            <w:hyperlink r:id="rId12"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http://inspiremeasap.com/2014/01/fries-vs-fruitwhat-will-win.html</w:t>
              </w:r>
            </w:hyperlink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b/>
                <w:sz w:val="20"/>
                <w:szCs w:val="20"/>
                <w:u w:val="single"/>
              </w:rPr>
              <w:t>Videos:</w:t>
            </w:r>
          </w:p>
          <w:p w:rsidR="00487FE4" w:rsidRDefault="00FA4D2B">
            <w:pPr>
              <w:pStyle w:val="normal0"/>
              <w:numPr>
                <w:ilvl w:val="0"/>
                <w:numId w:val="3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Sugar is killing us: </w:t>
            </w:r>
            <w:hyperlink r:id="rId13">
              <w:r>
                <w:rPr>
                  <w:color w:val="1155CC"/>
                  <w:sz w:val="20"/>
                  <w:szCs w:val="20"/>
                  <w:u w:val="single"/>
                </w:rPr>
                <w:t>http://safeshare.tv/w/KrmJusxIAa</w:t>
              </w:r>
            </w:hyperlink>
          </w:p>
          <w:p w:rsidR="00487FE4" w:rsidRDefault="00FA4D2B">
            <w:pPr>
              <w:pStyle w:val="normal0"/>
              <w:numPr>
                <w:ilvl w:val="0"/>
                <w:numId w:val="3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much sugar is i</w:t>
            </w:r>
            <w:r>
              <w:rPr>
                <w:sz w:val="20"/>
                <w:szCs w:val="20"/>
              </w:rPr>
              <w:t xml:space="preserve">n a raneg of food: </w:t>
            </w:r>
            <w:hyperlink r:id="rId14">
              <w:r>
                <w:rPr>
                  <w:color w:val="1155CC"/>
                  <w:sz w:val="20"/>
                  <w:szCs w:val="20"/>
                  <w:u w:val="single"/>
                </w:rPr>
                <w:t>http://safeshare.tv/w/yYwOCApSJt</w:t>
              </w:r>
            </w:hyperlink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</w:tc>
        <w:tc>
          <w:tcPr>
            <w:tcW w:w="3465" w:type="dxa"/>
            <w:tcBorders>
              <w:bottom w:val="single" w:sz="8" w:space="0" w:color="00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lastRenderedPageBreak/>
              <w:t>WASW: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Children complete a food sort into the major categories of where food comes from (the ground, animals, ingredients/processed)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WASW: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Children identify and discuss the </w:t>
            </w:r>
            <w:r>
              <w:rPr>
                <w:sz w:val="20"/>
                <w:szCs w:val="20"/>
              </w:rPr>
              <w:lastRenderedPageBreak/>
              <w:t>specific functions of the major organs involved in digestion.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WASW: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Children naming the main ingredients in a variety of snack and treat foods, stating that the food that contain too much sugar, fat or s</w:t>
            </w:r>
            <w:r>
              <w:rPr>
                <w:sz w:val="20"/>
                <w:szCs w:val="20"/>
              </w:rPr>
              <w:t>alt are treats.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  <w:jc w:val="both"/>
            </w:pPr>
          </w:p>
        </w:tc>
      </w:tr>
    </w:tbl>
    <w:p w:rsidR="00487FE4" w:rsidRDefault="00487FE4">
      <w:pPr>
        <w:pStyle w:val="normal0"/>
      </w:pPr>
    </w:p>
    <w:tbl>
      <w:tblPr>
        <w:tblStyle w:val="a2"/>
        <w:tblW w:w="155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2175"/>
        <w:gridCol w:w="6720"/>
        <w:gridCol w:w="3495"/>
      </w:tblGrid>
      <w:tr w:rsidR="00487FE4">
        <w:tc>
          <w:tcPr>
            <w:tcW w:w="3120" w:type="dxa"/>
            <w:tcBorders>
              <w:top w:val="dotted" w:sz="8" w:space="0" w:color="000000"/>
              <w:left w:val="single" w:sz="12" w:space="0" w:color="FF0000"/>
              <w:bottom w:val="dotted" w:sz="8" w:space="0" w:color="00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WALT: Explore packaging to decide if a food choice is a healthy choice. </w:t>
            </w: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487FE4">
            <w:pPr>
              <w:pStyle w:val="normal0"/>
              <w:ind w:left="120"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WALT: identify sustainable food.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(food that impacts on the environment/ecology)  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</w:tc>
        <w:tc>
          <w:tcPr>
            <w:tcW w:w="8895" w:type="dxa"/>
            <w:gridSpan w:val="2"/>
            <w:tcBorders>
              <w:top w:val="dotted" w:sz="8" w:space="0" w:color="000000"/>
              <w:bottom w:val="dotted" w:sz="8" w:space="0" w:color="00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right="120"/>
            </w:pPr>
            <w:r>
              <w:rPr>
                <w:color w:val="0000FF"/>
                <w:sz w:val="20"/>
                <w:szCs w:val="20"/>
              </w:rPr>
              <w:lastRenderedPageBreak/>
              <w:t>Experience 4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Bring in your favourite snack/morning tea, introduce and explore the nutritional information.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Teacher directed session -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How much sugar do we need in one day?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How much sugar is in my food/muesli bar?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Food Labels Teacher’s Guide (KidsHealth.org)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b/>
                <w:sz w:val="20"/>
                <w:szCs w:val="20"/>
                <w:u w:val="single"/>
              </w:rPr>
              <w:lastRenderedPageBreak/>
              <w:t>Worksheets: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Comparing food labels for nutrition information worksheet.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Oreo nutritional facts worksheet.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Pop Tarts nutritional facts worksheet.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i/>
                <w:sz w:val="20"/>
                <w:szCs w:val="20"/>
              </w:rPr>
              <w:t>Life Education activities:</w:t>
            </w:r>
          </w:p>
          <w:p w:rsidR="00487FE4" w:rsidRDefault="00FA4D2B">
            <w:pPr>
              <w:pStyle w:val="normal0"/>
              <w:numPr>
                <w:ilvl w:val="0"/>
                <w:numId w:val="1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Design a snack bar (teachers guide) 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b/>
                <w:sz w:val="20"/>
                <w:szCs w:val="20"/>
                <w:u w:val="single"/>
              </w:rPr>
              <w:t>Videos</w:t>
            </w:r>
            <w:r>
              <w:rPr>
                <w:b/>
                <w:sz w:val="20"/>
                <w:szCs w:val="20"/>
              </w:rPr>
              <w:t>:</w:t>
            </w:r>
          </w:p>
          <w:p w:rsidR="00487FE4" w:rsidRDefault="00FA4D2B">
            <w:pPr>
              <w:pStyle w:val="normal0"/>
              <w:numPr>
                <w:ilvl w:val="0"/>
                <w:numId w:val="2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Kids read food labels: </w:t>
            </w:r>
            <w:hyperlink r:id="rId15">
              <w:r>
                <w:rPr>
                  <w:color w:val="1155CC"/>
                  <w:sz w:val="20"/>
                  <w:szCs w:val="20"/>
                  <w:u w:val="single"/>
                </w:rPr>
                <w:t>https://www.youtube.com/watch?v=JhYEFGRTZvY</w:t>
              </w:r>
            </w:hyperlink>
          </w:p>
          <w:p w:rsidR="00487FE4" w:rsidRDefault="00FA4D2B">
            <w:pPr>
              <w:pStyle w:val="normal0"/>
              <w:numPr>
                <w:ilvl w:val="0"/>
                <w:numId w:val="2"/>
              </w:numPr>
              <w:ind w:right="120"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Short video (first on list is the most): </w:t>
            </w:r>
            <w:hyperlink r:id="rId16">
              <w:r>
                <w:rPr>
                  <w:color w:val="1155CC"/>
                  <w:sz w:val="20"/>
                  <w:szCs w:val="20"/>
                  <w:u w:val="single"/>
                </w:rPr>
                <w:t>https://www.youtube.com/watch?v=NrgBiUjuGN4</w:t>
              </w:r>
            </w:hyperlink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color w:val="0000FF"/>
                <w:sz w:val="20"/>
                <w:szCs w:val="20"/>
              </w:rPr>
              <w:t>Experience 5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Hook: video of palm oil 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  <w:u w:val="single"/>
              </w:rPr>
              <w:t>Palm Oil: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b/>
                <w:sz w:val="20"/>
                <w:szCs w:val="20"/>
              </w:rPr>
              <w:t>Video: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WWF Palm oil video: </w:t>
            </w:r>
            <w:hyperlink r:id="rId17">
              <w:r>
                <w:rPr>
                  <w:color w:val="1155CC"/>
                  <w:sz w:val="20"/>
                  <w:szCs w:val="20"/>
                  <w:u w:val="single"/>
                </w:rPr>
                <w:t>https://www.youtube.com/watch?v=w-1DQwaauwE</w:t>
              </w:r>
            </w:hyperlink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Teen Kids News Palm Oil: </w:t>
            </w:r>
            <w:hyperlink r:id="rId18">
              <w:r>
                <w:rPr>
                  <w:color w:val="1155CC"/>
                  <w:sz w:val="20"/>
                  <w:szCs w:val="20"/>
                  <w:u w:val="single"/>
                </w:rPr>
                <w:t>https://www.youtube.com/watch?v=HWSSyll1tlM</w:t>
              </w:r>
            </w:hyperlink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Extension lessons (older students/extension): </w:t>
            </w:r>
            <w:hyperlink r:id="rId19">
              <w:r>
                <w:rPr>
                  <w:color w:val="1155CC"/>
                  <w:sz w:val="20"/>
                  <w:szCs w:val="20"/>
                  <w:u w:val="single"/>
                </w:rPr>
                <w:t>http://www.</w:t>
              </w:r>
              <w:r>
                <w:rPr>
                  <w:color w:val="1155CC"/>
                  <w:sz w:val="20"/>
                  <w:szCs w:val="20"/>
                  <w:u w:val="single"/>
                </w:rPr>
                <w:t>abc.net.au/btn/resources/teacher/episode/20140603-palmoil.pdf</w:t>
              </w:r>
            </w:hyperlink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  <w:u w:val="single"/>
              </w:rPr>
              <w:t>Water footprint of food: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</w:tc>
        <w:tc>
          <w:tcPr>
            <w:tcW w:w="3495" w:type="dxa"/>
            <w:tcBorders>
              <w:top w:val="dotted" w:sz="8" w:space="0" w:color="000000"/>
              <w:bottom w:val="dotted" w:sz="8" w:space="0" w:color="00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right="120"/>
              <w:jc w:val="both"/>
            </w:pPr>
            <w:r>
              <w:rPr>
                <w:sz w:val="20"/>
                <w:szCs w:val="20"/>
              </w:rPr>
              <w:lastRenderedPageBreak/>
              <w:t>WASW: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Children are able to discuss the information they can find on food packaging.</w:t>
            </w: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487FE4">
            <w:pPr>
              <w:pStyle w:val="normal0"/>
              <w:ind w:right="120"/>
            </w:pP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>WASW:</w:t>
            </w:r>
          </w:p>
          <w:p w:rsidR="00487FE4" w:rsidRDefault="00FA4D2B">
            <w:pPr>
              <w:pStyle w:val="normal0"/>
              <w:ind w:right="120"/>
            </w:pPr>
            <w:r>
              <w:rPr>
                <w:sz w:val="20"/>
                <w:szCs w:val="20"/>
              </w:rPr>
              <w:t xml:space="preserve">Children can discuss issues some food has and how it is unsustainable.  </w:t>
            </w:r>
          </w:p>
          <w:p w:rsidR="00487FE4" w:rsidRDefault="00FA4D2B">
            <w:pPr>
              <w:pStyle w:val="normal0"/>
              <w:ind w:left="120" w:right="120"/>
              <w:jc w:val="both"/>
            </w:pPr>
            <w:r>
              <w:rPr>
                <w:i/>
                <w:color w:val="0000FF"/>
                <w:sz w:val="20"/>
                <w:szCs w:val="20"/>
              </w:rPr>
              <w:t xml:space="preserve"> </w:t>
            </w:r>
          </w:p>
          <w:p w:rsidR="00487FE4" w:rsidRDefault="00FA4D2B">
            <w:pPr>
              <w:pStyle w:val="normal0"/>
              <w:ind w:left="120" w:right="120"/>
              <w:jc w:val="both"/>
            </w:pPr>
            <w:r>
              <w:rPr>
                <w:i/>
                <w:color w:val="0000FF"/>
                <w:sz w:val="20"/>
                <w:szCs w:val="20"/>
              </w:rPr>
              <w:t xml:space="preserve"> </w:t>
            </w:r>
          </w:p>
          <w:p w:rsidR="00487FE4" w:rsidRDefault="00FA4D2B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  <w:highlight w:val="cyan"/>
              </w:rPr>
              <w:t xml:space="preserve"> </w:t>
            </w:r>
          </w:p>
          <w:p w:rsidR="00487FE4" w:rsidRDefault="00FA4D2B">
            <w:pPr>
              <w:pStyle w:val="normal0"/>
              <w:ind w:left="120" w:right="120"/>
              <w:jc w:val="both"/>
            </w:pPr>
            <w:r>
              <w:rPr>
                <w:i/>
                <w:color w:val="0000FF"/>
                <w:sz w:val="20"/>
                <w:szCs w:val="20"/>
              </w:rPr>
              <w:t xml:space="preserve"> </w:t>
            </w:r>
          </w:p>
        </w:tc>
      </w:tr>
      <w:tr w:rsidR="00487FE4">
        <w:tc>
          <w:tcPr>
            <w:tcW w:w="15510" w:type="dxa"/>
            <w:gridSpan w:val="4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left="120" w:right="120"/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Resources:</w:t>
            </w:r>
          </w:p>
          <w:p w:rsidR="00487FE4" w:rsidRDefault="00FA4D2B">
            <w:pPr>
              <w:pStyle w:val="normal0"/>
              <w:ind w:left="120" w:right="120" w:firstLine="20"/>
            </w:pP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Primary Science R.I.C Publications</w:t>
            </w:r>
          </w:p>
          <w:p w:rsidR="00487FE4" w:rsidRDefault="00FA4D2B">
            <w:pPr>
              <w:pStyle w:val="normal0"/>
              <w:ind w:left="120" w:right="120" w:firstLine="20"/>
            </w:pP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School Journals</w:t>
            </w:r>
          </w:p>
          <w:p w:rsidR="00487FE4" w:rsidRDefault="00FA4D2B">
            <w:pPr>
              <w:pStyle w:val="normal0"/>
              <w:ind w:left="120" w:right="120"/>
            </w:pP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Connected</w:t>
            </w:r>
          </w:p>
          <w:p w:rsidR="00487FE4" w:rsidRDefault="00FA4D2B">
            <w:pPr>
              <w:pStyle w:val="normal0"/>
              <w:spacing w:after="200"/>
              <w:ind w:left="120" w:right="120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ICT to enhance conditions for bringing in ideas:</w:t>
            </w:r>
          </w:p>
          <w:p w:rsidR="00487FE4" w:rsidRDefault="00FA4D2B">
            <w:pPr>
              <w:pStyle w:val="normal0"/>
              <w:spacing w:after="280"/>
              <w:ind w:left="120" w:right="120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Food sorting cards from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  <w:hyperlink r:id="rId20"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http://www.nourishinteractive.com/nutrition-education-printables/category/32-grain-food-group-myplate-health</w:t>
              </w:r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y-foods-kids-fun-pages</w:t>
              </w:r>
            </w:hyperlink>
          </w:p>
          <w:p w:rsidR="00487FE4" w:rsidRDefault="00FA4D2B">
            <w:pPr>
              <w:pStyle w:val="normal0"/>
              <w:spacing w:after="280"/>
              <w:ind w:right="120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Fat test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  <w:t xml:space="preserve">   </w:t>
            </w:r>
            <w:hyperlink r:id="rId21"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http://inspiremeasap.com/2011/03/fat-test-lesson-students-have-to-see-to.html</w:t>
              </w:r>
            </w:hyperlink>
          </w:p>
          <w:p w:rsidR="00487FE4" w:rsidRDefault="00FA4D2B">
            <w:pPr>
              <w:pStyle w:val="normal0"/>
              <w:spacing w:after="280"/>
              <w:ind w:right="120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Banana &amp; Fries Preservative Test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  <w:t xml:space="preserve">   </w:t>
            </w:r>
            <w:hyperlink r:id="rId22"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http://inspiremeasap.com/2014/01/fries-vs-fruitwhat-will-win.html</w:t>
              </w:r>
            </w:hyperlink>
          </w:p>
          <w:p w:rsidR="00487FE4" w:rsidRDefault="00FA4D2B">
            <w:pPr>
              <w:pStyle w:val="normal0"/>
              <w:spacing w:after="280"/>
              <w:ind w:right="120"/>
            </w:pPr>
            <w:r>
              <w:rPr>
                <w:rFonts w:ascii="Calibri" w:eastAsia="Calibri" w:hAnsi="Calibri" w:cs="Calibri"/>
                <w:sz w:val="20"/>
                <w:szCs w:val="20"/>
              </w:rPr>
              <w:t>Wall Display Ideas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  <w:hyperlink r:id="rId23" w:anchor=".Vfj3ac64mb8"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http://www.sparklebox.co.uk/topic/world-around-us/food/#.Vfj3ac64mb8</w:t>
              </w:r>
            </w:hyperlink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</w:p>
          <w:p w:rsidR="00487FE4" w:rsidRDefault="00FA4D2B">
            <w:pPr>
              <w:pStyle w:val="normal0"/>
              <w:spacing w:after="280"/>
              <w:ind w:right="120"/>
            </w:pPr>
            <w:hyperlink r:id="rId24"/>
          </w:p>
          <w:p w:rsidR="00487FE4" w:rsidRDefault="00487FE4">
            <w:pPr>
              <w:pStyle w:val="normal0"/>
              <w:ind w:left="120" w:right="120"/>
            </w:pPr>
          </w:p>
        </w:tc>
      </w:tr>
      <w:tr w:rsidR="00487FE4">
        <w:tc>
          <w:tcPr>
            <w:tcW w:w="5295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left="120" w:right="120"/>
            </w:pPr>
            <w:r>
              <w:rPr>
                <w:sz w:val="18"/>
                <w:szCs w:val="18"/>
              </w:rPr>
              <w:t>End of unit - means of recording student reflection</w:t>
            </w:r>
          </w:p>
          <w:p w:rsidR="00487FE4" w:rsidRDefault="00FA4D2B">
            <w:pPr>
              <w:pStyle w:val="normal0"/>
              <w:ind w:left="120" w:right="120"/>
              <w:jc w:val="both"/>
            </w:pPr>
            <w:r>
              <w:rPr>
                <w:sz w:val="18"/>
                <w:szCs w:val="18"/>
              </w:rPr>
              <w:t>Possible focus questions f</w:t>
            </w:r>
            <w:r>
              <w:rPr>
                <w:sz w:val="18"/>
                <w:szCs w:val="18"/>
              </w:rPr>
              <w:t>or reflection:</w:t>
            </w:r>
          </w:p>
          <w:p w:rsidR="00487FE4" w:rsidRDefault="00FA4D2B">
            <w:pPr>
              <w:pStyle w:val="normal0"/>
              <w:ind w:left="120" w:right="120"/>
            </w:pPr>
            <w:r>
              <w:rPr>
                <w:sz w:val="18"/>
                <w:szCs w:val="18"/>
              </w:rPr>
              <w:t>What did I do well?</w:t>
            </w:r>
          </w:p>
          <w:p w:rsidR="00487FE4" w:rsidRDefault="00FA4D2B">
            <w:pPr>
              <w:pStyle w:val="normal0"/>
              <w:ind w:left="120" w:right="120"/>
            </w:pPr>
            <w:r>
              <w:rPr>
                <w:sz w:val="18"/>
                <w:szCs w:val="18"/>
              </w:rPr>
              <w:t>What would I change?</w:t>
            </w:r>
          </w:p>
          <w:p w:rsidR="00487FE4" w:rsidRDefault="00FA4D2B">
            <w:pPr>
              <w:pStyle w:val="normal0"/>
              <w:ind w:left="120" w:right="120"/>
            </w:pPr>
            <w:r>
              <w:rPr>
                <w:sz w:val="18"/>
                <w:szCs w:val="18"/>
              </w:rPr>
              <w:t>Where to next?</w:t>
            </w:r>
          </w:p>
          <w:p w:rsidR="00487FE4" w:rsidRDefault="00FA4D2B">
            <w:pPr>
              <w:pStyle w:val="normal0"/>
              <w:ind w:left="120" w:right="120"/>
            </w:pPr>
            <w:r>
              <w:rPr>
                <w:sz w:val="18"/>
                <w:szCs w:val="18"/>
              </w:rPr>
              <w:t xml:space="preserve"> </w:t>
            </w:r>
          </w:p>
          <w:p w:rsidR="00487FE4" w:rsidRDefault="00487FE4">
            <w:pPr>
              <w:pStyle w:val="normal0"/>
              <w:ind w:right="120"/>
            </w:pPr>
          </w:p>
        </w:tc>
        <w:tc>
          <w:tcPr>
            <w:tcW w:w="10215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487FE4">
            <w:pPr>
              <w:pStyle w:val="normal0"/>
              <w:ind w:left="120" w:right="120"/>
            </w:pPr>
          </w:p>
        </w:tc>
      </w:tr>
      <w:tr w:rsidR="00487FE4">
        <w:tc>
          <w:tcPr>
            <w:tcW w:w="15510" w:type="dxa"/>
            <w:gridSpan w:val="4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7FE4" w:rsidRDefault="00FA4D2B">
            <w:pPr>
              <w:pStyle w:val="normal0"/>
              <w:ind w:left="120" w:right="120"/>
              <w:jc w:val="both"/>
            </w:pPr>
            <w:r>
              <w:rPr>
                <w:b/>
                <w:sz w:val="18"/>
                <w:szCs w:val="18"/>
              </w:rPr>
              <w:lastRenderedPageBreak/>
              <w:t>Reflection for Subsequent Planning</w:t>
            </w:r>
          </w:p>
          <w:p w:rsidR="00487FE4" w:rsidRDefault="00FA4D2B">
            <w:pPr>
              <w:pStyle w:val="normal0"/>
              <w:ind w:left="120" w:right="120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487FE4" w:rsidRDefault="00487FE4">
            <w:pPr>
              <w:pStyle w:val="normal0"/>
              <w:ind w:right="120"/>
            </w:pPr>
          </w:p>
        </w:tc>
      </w:tr>
    </w:tbl>
    <w:p w:rsidR="00487FE4" w:rsidRDefault="00487FE4">
      <w:pPr>
        <w:pStyle w:val="normal0"/>
      </w:pPr>
    </w:p>
    <w:sectPr w:rsidR="00487FE4" w:rsidSect="00FA4D2B">
      <w:pgSz w:w="16838" w:h="11906" w:orient="landscape"/>
      <w:pgMar w:top="720" w:right="720" w:bottom="720" w:left="720" w:header="720" w:footer="720" w:gutter="0"/>
      <w:pgNumType w:start="1"/>
      <w:cols w:space="720"/>
      <w:printerSettings r:id="rId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1D6A"/>
    <w:multiLevelType w:val="multilevel"/>
    <w:tmpl w:val="1FF8DB3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>
    <w:nsid w:val="252D6823"/>
    <w:multiLevelType w:val="multilevel"/>
    <w:tmpl w:val="A058CAE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nsid w:val="2B355E88"/>
    <w:multiLevelType w:val="multilevel"/>
    <w:tmpl w:val="A20877F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nsid w:val="2DA72237"/>
    <w:multiLevelType w:val="multilevel"/>
    <w:tmpl w:val="BD4A4B4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3DA512AB"/>
    <w:multiLevelType w:val="multilevel"/>
    <w:tmpl w:val="AF362AC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nsid w:val="490047A4"/>
    <w:multiLevelType w:val="multilevel"/>
    <w:tmpl w:val="666A64B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>
    <w:nsid w:val="6B487517"/>
    <w:multiLevelType w:val="multilevel"/>
    <w:tmpl w:val="98C417A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7DB13116"/>
    <w:multiLevelType w:val="multilevel"/>
    <w:tmpl w:val="AE5C870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87FE4"/>
    <w:rsid w:val="00487FE4"/>
    <w:rsid w:val="00FA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safeshare.tv/w/QHtjsYqcuO" TargetMode="External"/><Relationship Id="rId20" Type="http://schemas.openxmlformats.org/officeDocument/2006/relationships/hyperlink" Target="http://www.nourishinteractive.com/nutrition-education-printables/category/32-grain-food-group-myplate-healthy-foods-kids-fun-pages" TargetMode="External"/><Relationship Id="rId21" Type="http://schemas.openxmlformats.org/officeDocument/2006/relationships/hyperlink" Target="http://inspiremeasap.com/2011/03/fat-test-lesson-students-have-to-see-to.html" TargetMode="External"/><Relationship Id="rId22" Type="http://schemas.openxmlformats.org/officeDocument/2006/relationships/hyperlink" Target="http://inspiremeasap.com/2014/01/fries-vs-fruitwhat-will-win.html" TargetMode="External"/><Relationship Id="rId23" Type="http://schemas.openxmlformats.org/officeDocument/2006/relationships/hyperlink" Target="http://www.sparklebox.co.uk/topic/world-around-us/food/" TargetMode="External"/><Relationship Id="rId24" Type="http://schemas.openxmlformats.org/officeDocument/2006/relationships/hyperlink" Target="http://sustainableschools.org/documents/Sustainability%20for%20kids%20070302.pdf" TargetMode="External"/><Relationship Id="rId25" Type="http://schemas.openxmlformats.org/officeDocument/2006/relationships/printerSettings" Target="printerSettings/printerSettings1.bin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1.jpg"/><Relationship Id="rId11" Type="http://schemas.openxmlformats.org/officeDocument/2006/relationships/hyperlink" Target="http://inspiremeasap.com/2011/03/fat-test-lesson-students-have-to-see-to.html" TargetMode="External"/><Relationship Id="rId12" Type="http://schemas.openxmlformats.org/officeDocument/2006/relationships/hyperlink" Target="http://inspiremeasap.com/2014/01/fries-vs-fruitwhat-will-win.html" TargetMode="External"/><Relationship Id="rId13" Type="http://schemas.openxmlformats.org/officeDocument/2006/relationships/hyperlink" Target="http://safeshare.tv/w/KrmJusxIAa" TargetMode="External"/><Relationship Id="rId14" Type="http://schemas.openxmlformats.org/officeDocument/2006/relationships/hyperlink" Target="http://safeshare.tv/w/yYwOCApSJt" TargetMode="External"/><Relationship Id="rId15" Type="http://schemas.openxmlformats.org/officeDocument/2006/relationships/hyperlink" Target="https://www.youtube.com/watch?v=JhYEFGRTZvY" TargetMode="External"/><Relationship Id="rId16" Type="http://schemas.openxmlformats.org/officeDocument/2006/relationships/hyperlink" Target="https://www.youtube.com/watch?v=NrgBiUjuGN4" TargetMode="External"/><Relationship Id="rId17" Type="http://schemas.openxmlformats.org/officeDocument/2006/relationships/hyperlink" Target="https://www.youtube.com/watch?v=w-1DQwaauwE" TargetMode="External"/><Relationship Id="rId18" Type="http://schemas.openxmlformats.org/officeDocument/2006/relationships/hyperlink" Target="https://www.youtube.com/watch?v=HWSSyll1tlM" TargetMode="External"/><Relationship Id="rId19" Type="http://schemas.openxmlformats.org/officeDocument/2006/relationships/hyperlink" Target="http://www.abc.net.au/btn/resources/teacher/episode/20140603-palmoil.pdf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sl-kids.com/flashcards/food.html" TargetMode="External"/><Relationship Id="rId7" Type="http://schemas.openxmlformats.org/officeDocument/2006/relationships/hyperlink" Target="http://safeshare.tv/w/bbjVXZLvzp" TargetMode="External"/><Relationship Id="rId8" Type="http://schemas.openxmlformats.org/officeDocument/2006/relationships/hyperlink" Target="http://safeshare.tv/w/HKvomOvTT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1613</Words>
  <Characters>9199</Characters>
  <Application>Microsoft Macintosh Word</Application>
  <DocSecurity>0</DocSecurity>
  <Lines>76</Lines>
  <Paragraphs>21</Paragraphs>
  <ScaleCrop>false</ScaleCrop>
  <Company/>
  <LinksUpToDate>false</LinksUpToDate>
  <CharactersWithSpaces>10791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cp:lastPrinted>2015-09-23T19:02:00Z</cp:lastPrinted>
  <dcterms:created xsi:type="dcterms:W3CDTF">2015-09-23T19:02:00Z</dcterms:created>
  <dcterms:modified xsi:type="dcterms:W3CDTF">2015-09-23T19:02:00Z</dcterms:modified>
</cp:coreProperties>
</file>